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B2733"/>
          <w:sz w:val="40"/>
          <w:szCs w:val="40"/>
        </w:rPr>
        <w:t xml:space="preserve">Recadrer un collaborateur en cinq temps</w:t>
      </w:r>
    </w:p>
    <w:p>
      <w:pPr>
        <w:spacing w:after="240"/>
      </w:pPr>
      <w:r>
        <w:rPr>
          <w:color w:val="6B6864"/>
          <w:sz w:val="20"/>
          <w:szCs w:val="20"/>
        </w:rPr>
        <w:t xml:space="preserve">En tête-à-tête, dans les 48 heures, dix minutes. Sur les faits, jamais sur la personne.</w:t>
      </w:r>
    </w:p>
    <w:p>
      <w:pPr>
        <w:pStyle w:val="Heading1"/>
        <w:spacing w:after="120" w:before="300"/>
      </w:pPr>
      <w:r>
        <w:t xml:space="preserve">La méthode</w:t>
      </w:r>
    </w:p>
    <w:p>
      <w:pPr>
        <w:spacing w:after="120"/>
      </w:pPr>
      <w:r>
        <w:t xml:space="preserve">1. Le fait, daté et observable. 2. L’effet concret pour l’entreprise ou pour les autres. 3. La question : « qu’est-ce qui s’est passé ? », puis écouter jusqu’au bout. 4. La règle et l’attente à partir de maintenant. 5. La suite : une date de point.</w:t>
      </w:r>
    </w:p>
    <w:p>
      <w:pPr>
        <w:spacing w:after="120"/>
      </w:pPr>
      <w:r>
        <w:rPr>
          <w:color w:val="9A4A2C"/>
        </w:rPr>
        <w:t xml:space="preserve">À bannir : « toujours », « jamais », « tu es… », le sermon, l’historique des fautes passées, la comparaison avec un collègue, le recadrage devant les autres.</w:t>
      </w:r>
    </w:p>
    <w:p>
      <w:pPr>
        <w:pStyle w:val="Heading1"/>
        <w:spacing w:after="120" w:before="300"/>
      </w:pPr>
      <w:r>
        <w:t xml:space="preserve">Ma préparation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6600"/>
      </w:tblGrid>
      <w:tr>
        <w:tc>
          <w:tcPr>
            <w:tcW w:type="dxa" w:w="2600"/>
            <w:shd w:fill="F6EDE4" w:val="clear"/>
          </w:tcPr>
          <w:p>
            <w:pPr>
              <w:spacing w:after="60" w:before="60"/>
            </w:pPr>
            <w:r>
              <w:rPr>
                <w:b/>
                <w:bCs/>
                <w:color w:val="1B2733"/>
                <w:sz w:val="20"/>
                <w:szCs w:val="20"/>
              </w:rPr>
              <w:t xml:space="preserve">Élément</w:t>
            </w:r>
          </w:p>
        </w:tc>
        <w:tc>
          <w:tcPr>
            <w:tcW w:type="dxa" w:w="6600"/>
            <w:shd w:fill="F6EDE4" w:val="clear"/>
          </w:tcPr>
          <w:p>
            <w:pPr>
              <w:spacing w:after="60" w:before="60"/>
            </w:pPr>
            <w:r>
              <w:rPr>
                <w:b/>
                <w:bCs/>
                <w:color w:val="1B2733"/>
                <w:sz w:val="20"/>
                <w:szCs w:val="20"/>
              </w:rPr>
              <w:t xml:space="preserve">Ce que je vais dire</w:t>
            </w:r>
          </w:p>
        </w:tc>
      </w:tr>
      <w:tr>
        <w:tc>
          <w:tcPr>
            <w:tcW w:type="dxa" w:w="2600"/>
          </w:tcPr>
          <w:p>
            <w:pPr>
              <w:spacing w:after="400" w:before="60"/>
            </w:pPr>
            <w:r>
              <w:rPr>
                <w:b w:val="false"/>
                <w:bCs w:val="false"/>
                <w:sz w:val="20"/>
                <w:szCs w:val="20"/>
              </w:rPr>
              <w:t xml:space="preserve">Le fait, avec sa date</w:t>
            </w:r>
          </w:p>
        </w:tc>
        <w:tc>
          <w:tcPr>
            <w:tcW w:type="dxa" w:w="6600"/>
          </w:tcPr>
          <w:p>
            <w:pPr>
              <w:spacing w:after="400" w:before="60"/>
            </w:pPr>
            <w:r>
              <w:rPr>
                <w:b w:val="false"/>
                <w:bCs w:val="false"/>
                <w:sz w:val="20"/>
                <w:szCs w:val="20"/>
              </w:rPr>
              <w:t xml:space="preserve"/>
            </w:r>
          </w:p>
        </w:tc>
      </w:tr>
      <w:tr>
        <w:tc>
          <w:tcPr>
            <w:tcW w:type="dxa" w:w="2600"/>
          </w:tcPr>
          <w:p>
            <w:pPr>
              <w:spacing w:after="400" w:before="60"/>
            </w:pPr>
            <w:r>
              <w:rPr>
                <w:b w:val="false"/>
                <w:bCs w:val="false"/>
                <w:sz w:val="20"/>
                <w:szCs w:val="20"/>
              </w:rPr>
              <w:t xml:space="preserve">L'effet</w:t>
            </w:r>
          </w:p>
        </w:tc>
        <w:tc>
          <w:tcPr>
            <w:tcW w:type="dxa" w:w="6600"/>
          </w:tcPr>
          <w:p>
            <w:pPr>
              <w:spacing w:after="400" w:before="60"/>
            </w:pPr>
            <w:r>
              <w:rPr>
                <w:b w:val="false"/>
                <w:bCs w:val="false"/>
                <w:sz w:val="20"/>
                <w:szCs w:val="20"/>
              </w:rPr>
              <w:t xml:space="preserve"/>
            </w:r>
          </w:p>
        </w:tc>
      </w:tr>
      <w:tr>
        <w:tc>
          <w:tcPr>
            <w:tcW w:type="dxa" w:w="2600"/>
          </w:tcPr>
          <w:p>
            <w:pPr>
              <w:spacing w:after="400" w:before="60"/>
            </w:pPr>
            <w:r>
              <w:rPr>
                <w:b w:val="false"/>
                <w:bCs w:val="false"/>
                <w:sz w:val="20"/>
                <w:szCs w:val="20"/>
              </w:rPr>
              <w:t xml:space="preserve">Ma question d’ouverture</w:t>
            </w:r>
          </w:p>
        </w:tc>
        <w:tc>
          <w:tcPr>
            <w:tcW w:type="dxa" w:w="6600"/>
          </w:tcPr>
          <w:p>
            <w:pPr>
              <w:spacing w:after="400" w:before="60"/>
            </w:pPr>
            <w:r>
              <w:rPr>
                <w:b w:val="false"/>
                <w:bCs w:val="false"/>
                <w:sz w:val="20"/>
                <w:szCs w:val="20"/>
              </w:rPr>
              <w:t xml:space="preserve"/>
            </w:r>
          </w:p>
        </w:tc>
      </w:tr>
      <w:tr>
        <w:tc>
          <w:tcPr>
            <w:tcW w:type="dxa" w:w="2600"/>
          </w:tcPr>
          <w:p>
            <w:pPr>
              <w:spacing w:after="400" w:before="60"/>
            </w:pPr>
            <w:r>
              <w:rPr>
                <w:b w:val="false"/>
                <w:bCs w:val="false"/>
                <w:sz w:val="20"/>
                <w:szCs w:val="20"/>
              </w:rPr>
              <w:t xml:space="preserve">La règle et l’attente</w:t>
            </w:r>
          </w:p>
        </w:tc>
        <w:tc>
          <w:tcPr>
            <w:tcW w:type="dxa" w:w="6600"/>
          </w:tcPr>
          <w:p>
            <w:pPr>
              <w:spacing w:after="400" w:before="60"/>
            </w:pPr>
            <w:r>
              <w:rPr>
                <w:b w:val="false"/>
                <w:bCs w:val="false"/>
                <w:sz w:val="20"/>
                <w:szCs w:val="20"/>
              </w:rPr>
              <w:t xml:space="preserve"/>
            </w:r>
          </w:p>
        </w:tc>
      </w:tr>
      <w:tr>
        <w:tc>
          <w:tcPr>
            <w:tcW w:type="dxa" w:w="2600"/>
          </w:tcPr>
          <w:p>
            <w:pPr>
              <w:spacing w:after="400" w:before="60"/>
            </w:pPr>
            <w:r>
              <w:rPr>
                <w:b w:val="false"/>
                <w:bCs w:val="false"/>
                <w:sz w:val="20"/>
                <w:szCs w:val="20"/>
              </w:rPr>
              <w:t xml:space="preserve">La date du point de suivi</w:t>
            </w:r>
          </w:p>
        </w:tc>
        <w:tc>
          <w:tcPr>
            <w:tcW w:type="dxa" w:w="6600"/>
          </w:tcPr>
          <w:p>
            <w:pPr>
              <w:spacing w:after="400" w:before="60"/>
            </w:pPr>
            <w:r>
              <w:rPr>
                <w:b w:val="false"/>
                <w:bCs w:val="false"/>
                <w:sz w:val="20"/>
                <w:szCs w:val="20"/>
              </w:rPr>
              <w:t xml:space="preserve"/>
            </w:r>
          </w:p>
        </w:tc>
      </w:tr>
    </w:tbl>
    <w:p>
      <w:pPr>
        <w:pStyle w:val="Heading1"/>
        <w:spacing w:after="120" w:before="300"/>
      </w:pPr>
      <w:r>
        <w:t xml:space="preserve">Le compte rendu, après l’entretien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200"/>
        <w:gridCol w:w="2200"/>
        <w:gridCol w:w="2400"/>
        <w:gridCol w:w="2400"/>
      </w:tblGrid>
      <w:tr>
        <w:tc>
          <w:tcPr>
            <w:tcW w:type="dxa" w:w="2200"/>
            <w:shd w:fill="F6EDE4" w:val="clear"/>
          </w:tcPr>
          <w:p>
            <w:pPr>
              <w:spacing w:after="60" w:before="60"/>
            </w:pPr>
            <w:r>
              <w:rPr>
                <w:b/>
                <w:bCs/>
                <w:color w:val="1B2733"/>
                <w:sz w:val="20"/>
                <w:szCs w:val="20"/>
              </w:rPr>
              <w:t xml:space="preserve">Date</w:t>
            </w:r>
          </w:p>
        </w:tc>
        <w:tc>
          <w:tcPr>
            <w:tcW w:type="dxa" w:w="2200"/>
            <w:shd w:fill="F6EDE4" w:val="clear"/>
          </w:tcPr>
          <w:p>
            <w:pPr>
              <w:spacing w:after="60" w:before="60"/>
            </w:pPr>
            <w:r>
              <w:rPr>
                <w:b/>
                <w:bCs/>
                <w:color w:val="1B2733"/>
                <w:sz w:val="20"/>
                <w:szCs w:val="20"/>
              </w:rPr>
              <w:t xml:space="preserve">Sa réponse</w:t>
            </w:r>
          </w:p>
        </w:tc>
        <w:tc>
          <w:tcPr>
            <w:tcW w:type="dxa" w:w="2400"/>
            <w:shd w:fill="F6EDE4" w:val="clear"/>
          </w:tcPr>
          <w:p>
            <w:pPr>
              <w:spacing w:after="60" w:before="60"/>
            </w:pPr>
            <w:r>
              <w:rPr>
                <w:b/>
                <w:bCs/>
                <w:color w:val="1B2733"/>
                <w:sz w:val="20"/>
                <w:szCs w:val="20"/>
              </w:rPr>
              <w:t xml:space="preserve">Ce qui a été convenu</w:t>
            </w:r>
          </w:p>
        </w:tc>
        <w:tc>
          <w:tcPr>
            <w:tcW w:type="dxa" w:w="2400"/>
            <w:shd w:fill="F6EDE4" w:val="clear"/>
          </w:tcPr>
          <w:p>
            <w:pPr>
              <w:spacing w:after="60" w:before="60"/>
            </w:pPr>
            <w:r>
              <w:rPr>
                <w:b/>
                <w:bCs/>
                <w:color w:val="1B2733"/>
                <w:sz w:val="20"/>
                <w:szCs w:val="20"/>
              </w:rPr>
              <w:t xml:space="preserve">Point de suivi</w:t>
            </w:r>
          </w:p>
        </w:tc>
      </w:tr>
      <w:tr>
        <w:tc>
          <w:tcPr>
            <w:tcW w:type="dxa" w:w="2200"/>
          </w:tcPr>
          <w:p>
            <w:pPr>
              <w:spacing w:after="400" w:before="60"/>
            </w:pPr>
            <w:r>
              <w:rPr>
                <w:b w:val="false"/>
                <w:bCs w:val="false"/>
                <w:sz w:val="20"/>
                <w:szCs w:val="20"/>
              </w:rPr>
              <w:t xml:space="preserve"/>
            </w:r>
          </w:p>
        </w:tc>
        <w:tc>
          <w:tcPr>
            <w:tcW w:type="dxa" w:w="2200"/>
          </w:tcPr>
          <w:p>
            <w:pPr>
              <w:spacing w:after="400" w:before="60"/>
            </w:pPr>
            <w:r>
              <w:rPr>
                <w:b w:val="false"/>
                <w:bCs w:val="false"/>
                <w:sz w:val="20"/>
                <w:szCs w:val="20"/>
              </w:rPr>
              <w:t xml:space="preserve"/>
            </w:r>
          </w:p>
        </w:tc>
        <w:tc>
          <w:tcPr>
            <w:tcW w:type="dxa" w:w="2400"/>
          </w:tcPr>
          <w:p>
            <w:pPr>
              <w:spacing w:after="400" w:before="60"/>
            </w:pPr>
            <w:r>
              <w:rPr>
                <w:b w:val="false"/>
                <w:bCs w:val="false"/>
                <w:sz w:val="20"/>
                <w:szCs w:val="20"/>
              </w:rPr>
              <w:t xml:space="preserve"/>
            </w:r>
          </w:p>
        </w:tc>
        <w:tc>
          <w:tcPr>
            <w:tcW w:type="dxa" w:w="2400"/>
          </w:tcPr>
          <w:p>
            <w:pPr>
              <w:spacing w:after="400" w:before="60"/>
            </w:pPr>
            <w:r>
              <w:rPr>
                <w:b w:val="false"/>
                <w:bCs w:val="false"/>
                <w:sz w:val="20"/>
                <w:szCs w:val="20"/>
              </w:rPr>
              <w:t xml:space="preserve"/>
            </w:r>
          </w:p>
        </w:tc>
      </w:tr>
      <w:tr>
        <w:tc>
          <w:tcPr>
            <w:tcW w:type="dxa" w:w="2200"/>
          </w:tcPr>
          <w:p>
            <w:pPr>
              <w:spacing w:after="400" w:before="60"/>
            </w:pPr>
            <w:r>
              <w:rPr>
                <w:b w:val="false"/>
                <w:bCs w:val="false"/>
                <w:sz w:val="20"/>
                <w:szCs w:val="20"/>
              </w:rPr>
              <w:t xml:space="preserve"/>
            </w:r>
          </w:p>
        </w:tc>
        <w:tc>
          <w:tcPr>
            <w:tcW w:type="dxa" w:w="2200"/>
          </w:tcPr>
          <w:p>
            <w:pPr>
              <w:spacing w:after="400" w:before="60"/>
            </w:pPr>
            <w:r>
              <w:rPr>
                <w:b w:val="false"/>
                <w:bCs w:val="false"/>
                <w:sz w:val="20"/>
                <w:szCs w:val="20"/>
              </w:rPr>
              <w:t xml:space="preserve"/>
            </w:r>
          </w:p>
        </w:tc>
        <w:tc>
          <w:tcPr>
            <w:tcW w:type="dxa" w:w="2400"/>
          </w:tcPr>
          <w:p>
            <w:pPr>
              <w:spacing w:after="400" w:before="60"/>
            </w:pPr>
            <w:r>
              <w:rPr>
                <w:b w:val="false"/>
                <w:bCs w:val="false"/>
                <w:sz w:val="20"/>
                <w:szCs w:val="20"/>
              </w:rPr>
              <w:t xml:space="preserve"/>
            </w:r>
          </w:p>
        </w:tc>
        <w:tc>
          <w:tcPr>
            <w:tcW w:type="dxa" w:w="2400"/>
          </w:tcPr>
          <w:p>
            <w:pPr>
              <w:spacing w:after="400" w:before="60"/>
            </w:pPr>
            <w:r>
              <w:rPr>
                <w:b w:val="false"/>
                <w:bCs w:val="false"/>
                <w:sz w:val="20"/>
                <w:szCs w:val="20"/>
              </w:rPr>
              <w:t xml:space="preserve"/>
            </w:r>
          </w:p>
        </w:tc>
      </w:tr>
    </w:tbl>
    <w:p>
      <w:pPr>
        <w:pStyle w:val="Heading1"/>
        <w:spacing w:after="120" w:before="300"/>
      </w:pPr>
      <w:r>
        <w:t xml:space="preserve">Si le comportement se répète</w:t>
      </w:r>
    </w:p>
    <w:p>
      <w:pPr>
        <w:spacing w:after="120"/>
      </w:pPr>
      <w:r>
        <w:t xml:space="preserve">Rappeler le recadrage précédent et sa date, le fait nouveau, et annoncer les conséquences. Avant toute sanction disciplinaire, vérifier la procédure applicable (délais, entretien préalable selon la sanction envisagée) avec votre conseil : une erreur de forme coûte plus cher que la faute.</w:t>
      </w:r>
    </w:p>
    <w:p>
      <w:pPr>
        <w:spacing w:before="400"/>
      </w:pPr>
      <w:r>
        <w:rPr>
          <w:sz w:val="16"/>
          <w:szCs w:val="16"/>
        </w:rPr>
        <w:t xml:space="preserve"> </w:t>
      </w:r>
    </w:p>
    <w:p>
      <w:r>
        <w:rPr>
          <w:i/>
          <w:iCs/>
          <w:color w:val="6B6864"/>
          <w:sz w:val="16"/>
          <w:szCs w:val="16"/>
        </w:rPr>
        <w:t xml:space="preserve">Modèle gratuit du guide Le Ton juste, communiquer en dirigeant avec ses salariés, ses clients, ses fournisseurs et sa banque. letonjuste.fr</w:t>
      </w:r>
    </w:p>
    <w:p>
      <w:r>
        <w:rPr>
          <w:i/>
          <w:iCs/>
          <w:color w:val="6B6864"/>
          <w:sz w:val="16"/>
          <w:szCs w:val="16"/>
        </w:rPr>
        <w:t xml:space="preserve">Ce modèle est un support d'information. Il ne constitue pas un conseil juridique ou social personnalisé ; vérifiez toute décision avec votre expert-comptable ou votre conseil.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7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9A4A2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2026-09-23T16:38:24.301Z</dcterms:created>
  <dcterms:modified xsi:type="dcterms:W3CDTF">2026-09-23T16:38:24.301Z</dcterms:modified>
</cp:coreProperties>
</file>

<file path=docProps/custom.xml><?xml version="1.0" encoding="utf-8"?>
<Properties xmlns="http://schemas.openxmlformats.org/officeDocument/2006/custom-properties" xmlns:vt="http://schemas.openxmlformats.org/officeDocument/2006/docPropsVTypes"/>
</file>