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1B2733"/>
          <w:sz w:val="40"/>
          <w:szCs w:val="40"/>
        </w:rPr>
        <w:t xml:space="preserve">Préparer son rendez-vous banque</w:t>
      </w:r>
    </w:p>
    <w:p>
      <w:pPr>
        <w:spacing w:after="240"/>
      </w:pPr>
      <w:r>
        <w:rPr>
          <w:color w:val="6B6864"/>
          <w:sz w:val="20"/>
          <w:szCs w:val="20"/>
        </w:rPr>
        <w:t xml:space="preserve">Le dossier, les dix chiffres à connaître, le récit en cinq minutes, les questions qui fâchent.</w:t>
      </w:r>
    </w:p>
    <w:p>
      <w:pPr>
        <w:pStyle w:val="Heading1"/>
        <w:spacing w:after="120" w:before="300"/>
      </w:pPr>
      <w:r>
        <w:t xml:space="preserve">1. Le dossier, envoyé quelques jours avant</w:t>
      </w:r>
    </w:p>
    <w:p>
      <w:pPr>
        <w:spacing w:after="120"/>
      </w:pPr>
      <w:r>
        <w:t xml:space="preserve">Trois derniers bilans et comptes de résultat · une situation récente si le dernier bilan a plus de six mois · un prévisionnel (résultat et trésorerie) sur la durée du prêt · le plan de financement avec votre apport · les devis ou compromis · l’état de vos encours bancaires. Faites relire l’ensemble par votre expert-comptable : la cohérence entre les documents est le premier point vérifié.</w:t>
      </w:r>
    </w:p>
    <w:p>
      <w:pPr>
        <w:pStyle w:val="Heading1"/>
        <w:spacing w:after="120" w:before="300"/>
      </w:pPr>
      <w:r>
        <w:t xml:space="preserve">2. Mes dix chiffres, à connaître sans notes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shd w:fill="F6EDE4" w:val="clear"/>
          </w:tcPr>
          <w:p>
            <w:pPr>
              <w:spacing w:after="60" w:before="60"/>
            </w:pPr>
            <w:r>
              <w:rPr>
                <w:b/>
                <w:bCs/>
                <w:color w:val="1B2733"/>
                <w:sz w:val="20"/>
                <w:szCs w:val="20"/>
              </w:rPr>
              <w:t xml:space="preserve">Chiffre</w:t>
            </w:r>
          </w:p>
        </w:tc>
        <w:tc>
          <w:tcPr>
            <w:tcW w:type="dxa" w:w="4000"/>
            <w:shd w:fill="F6EDE4" w:val="clear"/>
          </w:tcPr>
          <w:p>
            <w:pPr>
              <w:spacing w:after="60" w:before="60"/>
            </w:pPr>
            <w:r>
              <w:rPr>
                <w:b/>
                <w:bCs/>
                <w:color w:val="1B2733"/>
                <w:sz w:val="20"/>
                <w:szCs w:val="20"/>
              </w:rPr>
              <w:t xml:space="preserve">Valeur</w:t>
            </w:r>
          </w:p>
        </w:tc>
      </w:tr>
      <w:tr>
        <w:tc>
          <w:tcPr>
            <w:tcW w:type="dxa" w:w="52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Chiffre d'affaires N-1 et N</w:t>
            </w:r>
          </w:p>
        </w:tc>
        <w:tc>
          <w:tcPr>
            <w:tcW w:type="dxa" w:w="40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Résultat N-1 et N</w:t>
            </w:r>
          </w:p>
        </w:tc>
        <w:tc>
          <w:tcPr>
            <w:tcW w:type="dxa" w:w="40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Marge brute (%)</w:t>
            </w:r>
          </w:p>
        </w:tc>
        <w:tc>
          <w:tcPr>
            <w:tcW w:type="dxa" w:w="40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Effectif</w:t>
            </w:r>
          </w:p>
        </w:tc>
        <w:tc>
          <w:tcPr>
            <w:tcW w:type="dxa" w:w="40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Trésorerie actuelle</w:t>
            </w:r>
          </w:p>
        </w:tc>
        <w:tc>
          <w:tcPr>
            <w:tcW w:type="dxa" w:w="40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Encours de crédit (capital restant dû, annuités)</w:t>
            </w:r>
          </w:p>
        </w:tc>
        <w:tc>
          <w:tcPr>
            <w:tcW w:type="dxa" w:w="40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Montant demandé et durée</w:t>
            </w:r>
          </w:p>
        </w:tc>
        <w:tc>
          <w:tcPr>
            <w:tcW w:type="dxa" w:w="40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Mensualité approximative</w:t>
            </w:r>
          </w:p>
        </w:tc>
        <w:tc>
          <w:tcPr>
            <w:tcW w:type="dxa" w:w="40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Ce que le projet rapporte par an</w:t>
            </w:r>
          </w:p>
        </w:tc>
        <w:tc>
          <w:tcPr>
            <w:tcW w:type="dxa" w:w="40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Mon apport</w:t>
            </w:r>
          </w:p>
        </w:tc>
        <w:tc>
          <w:tcPr>
            <w:tcW w:type="dxa" w:w="40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20" w:before="300"/>
      </w:pPr>
      <w:r>
        <w:t xml:space="preserve">3. Mon récit en cinq minutes</w:t>
      </w:r>
    </w:p>
    <w:p>
      <w:pPr>
        <w:spacing w:after="120"/>
      </w:pPr>
      <w:r>
        <w:t xml:space="preserve">Ce que fait l’entreprise, en une phrase qu’un non-spécialiste comprend · à qui elle vend et pourquoi ces clients la choisissent · où elle en est, en trois chiffres · ce que je veux faire et ce que ça change · ce que je demande et comment ça se rembourse.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00"/>
      </w:tblGrid>
      <w:tr>
        <w:tc>
          <w:tcPr>
            <w:tcW w:type="dxa" w:w="9200"/>
            <w:shd w:fill="F6EDE4" w:val="clear"/>
          </w:tcPr>
          <w:p>
            <w:pPr>
              <w:spacing w:after="60" w:before="60"/>
            </w:pPr>
            <w:r>
              <w:rPr>
                <w:b/>
                <w:bCs/>
                <w:color w:val="1B2733"/>
                <w:sz w:val="20"/>
                <w:szCs w:val="20"/>
              </w:rPr>
              <w:t xml:space="preserve">À écrire, puis à dire à voix haute, chronométré</w:t>
            </w:r>
          </w:p>
        </w:tc>
      </w:tr>
      <w:tr>
        <w:tc>
          <w:tcPr>
            <w:tcW w:type="dxa" w:w="92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2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2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20" w:before="300"/>
      </w:pPr>
      <w:r>
        <w:t xml:space="preserve">4. Mes deux points faibles, abordés par moi</w:t>
      </w:r>
    </w:p>
    <w:p>
      <w:pPr>
        <w:spacing w:after="120"/>
      </w:pPr>
      <w:r>
        <w:t xml:space="preserve">Un point faible présenté par le dirigeant est une preuve de lucidité ; découvert par le banquier, c’est un doute. Pour chacun : la cause, ce que j’ai fait, ce que ça donne.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200"/>
      </w:tblGrid>
      <w:tr>
        <w:tc>
          <w:tcPr>
            <w:tcW w:type="dxa" w:w="3000"/>
            <w:shd w:fill="F6EDE4" w:val="clear"/>
          </w:tcPr>
          <w:p>
            <w:pPr>
              <w:spacing w:after="60" w:before="60"/>
            </w:pPr>
            <w:r>
              <w:rPr>
                <w:b/>
                <w:bCs/>
                <w:color w:val="1B2733"/>
                <w:sz w:val="20"/>
                <w:szCs w:val="20"/>
              </w:rPr>
              <w:t xml:space="preserve">Le point faible</w:t>
            </w:r>
          </w:p>
        </w:tc>
        <w:tc>
          <w:tcPr>
            <w:tcW w:type="dxa" w:w="6200"/>
            <w:shd w:fill="F6EDE4" w:val="clear"/>
          </w:tcPr>
          <w:p>
            <w:pPr>
              <w:spacing w:after="60" w:before="60"/>
            </w:pPr>
            <w:r>
              <w:rPr>
                <w:b/>
                <w:bCs/>
                <w:color w:val="1B2733"/>
                <w:sz w:val="20"/>
                <w:szCs w:val="20"/>
              </w:rPr>
              <w:t xml:space="preserve">Cause, action, résultat</w:t>
            </w:r>
          </w:p>
        </w:tc>
      </w:tr>
      <w:tr>
        <w:tc>
          <w:tcPr>
            <w:tcW w:type="dxa" w:w="30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62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62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20" w:before="300"/>
      </w:pPr>
      <w:r>
        <w:t xml:space="preserve">5. Avant de partir</w:t>
      </w:r>
    </w:p>
    <w:p>
      <w:pPr>
        <w:spacing w:after="120"/>
      </w:pPr>
      <w:r>
        <w:t xml:space="preserve">Quels documents manquent, quand la réponse arrive, qui rappelle qui.</w:t>
      </w:r>
    </w:p>
    <w:p>
      <w:pPr>
        <w:spacing w:before="400"/>
      </w:pPr>
      <w:r>
        <w:rPr>
          <w:sz w:val="16"/>
          <w:szCs w:val="16"/>
        </w:rPr>
        <w:t xml:space="preserve"> </w:t>
      </w:r>
    </w:p>
    <w:p>
      <w:r>
        <w:rPr>
          <w:i/>
          <w:iCs/>
          <w:color w:val="6B6864"/>
          <w:sz w:val="16"/>
          <w:szCs w:val="16"/>
        </w:rPr>
        <w:t xml:space="preserve">Modèle gratuit du guide Le Ton juste, communiquer en dirigeant avec ses salariés, ses clients, ses fournisseurs et sa banque. letonjuste.fr</w:t>
      </w:r>
    </w:p>
    <w:p>
      <w:r>
        <w:rPr>
          <w:i/>
          <w:iCs/>
          <w:color w:val="6B6864"/>
          <w:sz w:val="16"/>
          <w:szCs w:val="16"/>
        </w:rPr>
        <w:t xml:space="preserve">Ce modèle est un support d'information. Il ne constitue pas un conseil juridique ou social personnalisé ; vérifiez toute décision avec votre expert-comptable ou votre conseil.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7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9A4A2C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2026-09-23T16:38:24.339Z</dcterms:created>
  <dcterms:modified xsi:type="dcterms:W3CDTF">2026-09-23T16:38:24.339Z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