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1B2733"/>
          <w:sz w:val="40"/>
          <w:szCs w:val="40"/>
        </w:rPr>
        <w:t xml:space="preserve">Préparer une conversation</w:t>
      </w:r>
    </w:p>
    <w:p>
      <w:pPr>
        <w:spacing w:after="240"/>
      </w:pPr>
      <w:r>
        <w:rPr>
          <w:color w:val="6B6864"/>
          <w:sz w:val="20"/>
          <w:szCs w:val="20"/>
        </w:rPr>
        <w:t xml:space="preserve">Cinq minutes avant tout échange qui compte : un entretien, une annonce, une négociation, un rendez-vous banque.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000"/>
      </w:tblGrid>
      <w:tr>
        <w:tc>
          <w:tcPr>
            <w:tcW w:type="dxa" w:w="3200"/>
            <w:shd w:fill="F6EDE4" w:val="clear"/>
          </w:tcPr>
          <w:p>
            <w:pPr>
              <w:spacing w:after="60" w:before="60"/>
            </w:pPr>
            <w:r>
              <w:rPr>
                <w:b/>
                <w:bCs/>
                <w:color w:val="1B2733"/>
                <w:sz w:val="20"/>
                <w:szCs w:val="20"/>
              </w:rPr>
              <w:t xml:space="preserve">Question</w:t>
            </w:r>
          </w:p>
        </w:tc>
        <w:tc>
          <w:tcPr>
            <w:tcW w:type="dxa" w:w="6000"/>
            <w:shd w:fill="F6EDE4" w:val="clear"/>
          </w:tcPr>
          <w:p>
            <w:pPr>
              <w:spacing w:after="60" w:before="60"/>
            </w:pPr>
            <w:r>
              <w:rPr>
                <w:b/>
                <w:bCs/>
                <w:color w:val="1B2733"/>
                <w:sz w:val="20"/>
                <w:szCs w:val="20"/>
              </w:rPr>
              <w:t xml:space="preserve">Ma réponse</w:t>
            </w:r>
          </w:p>
        </w:tc>
      </w:tr>
      <w:tr>
        <w:tc>
          <w:tcPr>
            <w:tcW w:type="dxa" w:w="3200"/>
          </w:tcPr>
          <w:p>
            <w:pPr>
              <w:spacing w:after="400" w:before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Avec qui, quand, où</w:t>
            </w:r>
          </w:p>
        </w:tc>
        <w:tc>
          <w:tcPr>
            <w:tcW w:type="dxa" w:w="6000"/>
          </w:tcPr>
          <w:p>
            <w:pPr>
              <w:spacing w:after="400" w:before="6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</w:tcPr>
          <w:p>
            <w:pPr>
              <w:spacing w:after="400" w:before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Le résultat que je veux obtenir (observable, daté)</w:t>
            </w:r>
          </w:p>
        </w:tc>
        <w:tc>
          <w:tcPr>
            <w:tcW w:type="dxa" w:w="6000"/>
          </w:tcPr>
          <w:p>
            <w:pPr>
              <w:spacing w:after="400" w:before="6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</w:tcPr>
          <w:p>
            <w:pPr>
              <w:spacing w:after="400" w:before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Ce que l'autre attend probablement de moi</w:t>
            </w:r>
          </w:p>
        </w:tc>
        <w:tc>
          <w:tcPr>
            <w:tcW w:type="dxa" w:w="6000"/>
          </w:tcPr>
          <w:p>
            <w:pPr>
              <w:spacing w:after="400" w:before="6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</w:tcPr>
          <w:p>
            <w:pPr>
              <w:spacing w:after="400" w:before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Ce que je suis prêt à entendre, ce qui pourrait me faire changer d’avis</w:t>
            </w:r>
          </w:p>
        </w:tc>
        <w:tc>
          <w:tcPr>
            <w:tcW w:type="dxa" w:w="6000"/>
          </w:tcPr>
          <w:p>
            <w:pPr>
              <w:spacing w:after="400" w:before="6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</w:tcPr>
          <w:p>
            <w:pPr>
              <w:spacing w:after="400" w:before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Ce qui est non négociable</w:t>
            </w:r>
          </w:p>
        </w:tc>
        <w:tc>
          <w:tcPr>
            <w:tcW w:type="dxa" w:w="6000"/>
          </w:tcPr>
          <w:p>
            <w:pPr>
              <w:spacing w:after="400" w:before="6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</w:tcPr>
          <w:p>
            <w:pPr>
              <w:spacing w:after="400" w:before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Les 2 ou 3 faits, dates ou chiffres à avoir sous la main</w:t>
            </w:r>
          </w:p>
        </w:tc>
        <w:tc>
          <w:tcPr>
            <w:tcW w:type="dxa" w:w="6000"/>
          </w:tcPr>
          <w:p>
            <w:pPr>
              <w:spacing w:after="400" w:before="6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</w:tcPr>
          <w:p>
            <w:pPr>
              <w:spacing w:after="400" w:before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Ma première phrase, écrite</w:t>
            </w:r>
          </w:p>
        </w:tc>
        <w:tc>
          <w:tcPr>
            <w:tcW w:type="dxa" w:w="6000"/>
          </w:tcPr>
          <w:p>
            <w:pPr>
              <w:spacing w:after="400" w:before="6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</w:tcPr>
          <w:p>
            <w:pPr>
              <w:spacing w:after="400" w:before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Ma phrase de sortie, qui fixe la suite</w:t>
            </w:r>
          </w:p>
        </w:tc>
        <w:tc>
          <w:tcPr>
            <w:tcW w:type="dxa" w:w="6000"/>
          </w:tcPr>
          <w:p>
            <w:pPr>
              <w:spacing w:after="400" w:before="6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20" w:before="300"/>
      </w:pPr>
      <w:r>
        <w:t xml:space="preserve">Pendant la conversation</w:t>
      </w:r>
    </w:p>
    <w:p>
      <w:pPr>
        <w:spacing w:after="120"/>
      </w:pPr>
      <w:r>
        <w:t xml:space="preserve">Le point d’abord, puis le pourquoi, puis la suite. Se taire jusqu’au bout. Reformuler : « si je comprends bien… ». Poser une question de plus avant de proposer. Si l’émotion monte : « attendez, je veux être sûr de bien comprendre », et au besoin dix minutes de pause.</w:t>
      </w:r>
    </w:p>
    <w:p>
      <w:pPr>
        <w:pStyle w:val="Heading1"/>
        <w:spacing w:after="120" w:before="300"/>
      </w:pPr>
      <w:r>
        <w:t xml:space="preserve">Après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000"/>
      </w:tblGrid>
      <w:tr>
        <w:tc>
          <w:tcPr>
            <w:tcW w:type="dxa" w:w="3200"/>
            <w:shd w:fill="F6EDE4" w:val="clear"/>
          </w:tcPr>
          <w:p>
            <w:pPr>
              <w:spacing w:after="60" w:before="60"/>
            </w:pPr>
            <w:r>
              <w:rPr>
                <w:b/>
                <w:bCs/>
                <w:color w:val="1B2733"/>
                <w:sz w:val="20"/>
                <w:szCs w:val="20"/>
              </w:rPr>
              <w:t xml:space="preserve">À noter</w:t>
            </w:r>
          </w:p>
        </w:tc>
        <w:tc>
          <w:tcPr>
            <w:tcW w:type="dxa" w:w="6000"/>
            <w:shd w:fill="F6EDE4" w:val="clear"/>
          </w:tcPr>
          <w:p>
            <w:pPr>
              <w:spacing w:after="60" w:before="60"/>
            </w:pPr>
            <w:r>
              <w:rPr>
                <w:b/>
                <w:bCs/>
                <w:color w:val="1B2733"/>
                <w:sz w:val="20"/>
                <w:szCs w:val="20"/>
              </w:rPr>
              <w:t xml:space="preserve">Ma réponse</w:t>
            </w:r>
          </w:p>
        </w:tc>
      </w:tr>
      <w:tr>
        <w:tc>
          <w:tcPr>
            <w:tcW w:type="dxa" w:w="3200"/>
          </w:tcPr>
          <w:p>
            <w:pPr>
              <w:spacing w:after="400" w:before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Ce qui a été décidé, qui fait quoi, pour quand</w:t>
            </w:r>
          </w:p>
        </w:tc>
        <w:tc>
          <w:tcPr>
            <w:tcW w:type="dxa" w:w="6000"/>
          </w:tcPr>
          <w:p>
            <w:pPr>
              <w:spacing w:after="400" w:before="6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</w:tcPr>
          <w:p>
            <w:pPr>
              <w:spacing w:after="400" w:before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Résultat atteint ? Ce que je referais autrement</w:t>
            </w:r>
          </w:p>
        </w:tc>
        <w:tc>
          <w:tcPr>
            <w:tcW w:type="dxa" w:w="6000"/>
          </w:tcPr>
          <w:p>
            <w:pPr>
              <w:spacing w:after="400" w:before="60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400"/>
      </w:pPr>
      <w:r>
        <w:rPr>
          <w:sz w:val="16"/>
          <w:szCs w:val="16"/>
        </w:rPr>
        <w:t xml:space="preserve"> </w:t>
      </w:r>
    </w:p>
    <w:p>
      <w:r>
        <w:rPr>
          <w:i/>
          <w:iCs/>
          <w:color w:val="6B6864"/>
          <w:sz w:val="16"/>
          <w:szCs w:val="16"/>
        </w:rPr>
        <w:t xml:space="preserve">Modèle gratuit du guide Le Ton juste, communiquer en dirigeant avec ses salariés, ses clients, ses fournisseurs et sa banque. letonjuste.fr</w:t>
      </w:r>
    </w:p>
    <w:p>
      <w:r>
        <w:rPr>
          <w:i/>
          <w:iCs/>
          <w:color w:val="6B6864"/>
          <w:sz w:val="16"/>
          <w:szCs w:val="16"/>
        </w:rPr>
        <w:t xml:space="preserve">Ce modèle est un support d'information. Il ne constitue pas un conseil juridique ou social personnalisé ; vérifiez toute décision avec votre expert-comptable ou votre conseil.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B27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Calibri" w:cs="Calibri" w:eastAsia="Calibri" w:hAnsi="Calibri"/>
      <w:b/>
      <w:bCs/>
      <w:color w:val="9A4A2C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2026-09-23T16:38:24.218Z</dcterms:created>
  <dcterms:modified xsi:type="dcterms:W3CDTF">2026-09-23T16:38:24.227Z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